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001A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060087B1" w14:textId="77777777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1D56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EKG </w:t>
      </w:r>
      <w:proofErr w:type="spellStart"/>
      <w:r w:rsidR="001D56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vakuumelektrodu</w:t>
      </w:r>
      <w:proofErr w:type="spellEnd"/>
      <w:r w:rsidR="001D56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sistēmas </w:t>
      </w:r>
      <w:proofErr w:type="spellStart"/>
      <w:r w:rsidR="001D56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Stressle</w:t>
      </w:r>
      <w:proofErr w:type="spellEnd"/>
      <w:r w:rsidR="001D56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apkalpošana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“SIA Bauskas slimnīca””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D624526" w14:textId="626A5D67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61359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B613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B613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Pr="00B613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1E03B752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9C8994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2C1913C5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69C81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EBB02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0EDF6A92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918307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9B5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22EEFB4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C081039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227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2DAE7B26" w14:textId="77777777" w:rsidR="00774C64" w:rsidRPr="009C0893" w:rsidRDefault="00774C64" w:rsidP="009C0893">
      <w:pPr>
        <w:pStyle w:val="ListParagraph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1D569B">
        <w:rPr>
          <w:rFonts w:eastAsia="Calibri"/>
        </w:rPr>
        <w:t xml:space="preserve">EKG </w:t>
      </w:r>
      <w:proofErr w:type="spellStart"/>
      <w:r w:rsidR="001D569B">
        <w:rPr>
          <w:rFonts w:eastAsia="Calibri"/>
        </w:rPr>
        <w:t>vakuumelektrodu</w:t>
      </w:r>
      <w:proofErr w:type="spellEnd"/>
      <w:r w:rsidR="001D569B">
        <w:rPr>
          <w:rFonts w:eastAsia="Calibri"/>
        </w:rPr>
        <w:t xml:space="preserve"> sistēmas </w:t>
      </w:r>
      <w:proofErr w:type="spellStart"/>
      <w:r w:rsidR="001D569B">
        <w:rPr>
          <w:rFonts w:eastAsia="Calibri"/>
        </w:rPr>
        <w:t>Stressle</w:t>
      </w:r>
      <w:proofErr w:type="spellEnd"/>
      <w:r w:rsidR="001D569B">
        <w:rPr>
          <w:rFonts w:eastAsia="Calibri"/>
        </w:rPr>
        <w:t xml:space="preserve"> apkalpošana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9B72178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218BC912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FA2AF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9C08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D6E2A" w14:textId="77777777" w:rsidR="009A4256" w:rsidRDefault="00774C64" w:rsidP="00FA2AF8">
      <w:pPr>
        <w:pStyle w:val="ListParagraph"/>
        <w:widowControl w:val="0"/>
        <w:numPr>
          <w:ilvl w:val="0"/>
          <w:numId w:val="2"/>
        </w:numPr>
        <w:tabs>
          <w:tab w:val="left" w:pos="7940"/>
        </w:tabs>
        <w:spacing w:before="240"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3A6804B2" w14:textId="77777777" w:rsidR="00FA2AF8" w:rsidRDefault="00FA2AF8" w:rsidP="00FA2AF8">
      <w:pPr>
        <w:pStyle w:val="ListParagraph"/>
        <w:widowControl w:val="0"/>
        <w:tabs>
          <w:tab w:val="left" w:pos="7940"/>
        </w:tabs>
        <w:spacing w:before="240" w:after="120"/>
        <w:ind w:left="357"/>
        <w:jc w:val="both"/>
        <w:outlineLvl w:val="1"/>
        <w:rPr>
          <w:b/>
          <w:bCs/>
          <w:iCs/>
        </w:rPr>
      </w:pPr>
    </w:p>
    <w:p w14:paraId="4388E66C" w14:textId="568A5DB5" w:rsidR="00774C64" w:rsidRDefault="009A4256" w:rsidP="00FA2AF8">
      <w:pPr>
        <w:pStyle w:val="ListParagraph"/>
        <w:widowControl w:val="0"/>
        <w:tabs>
          <w:tab w:val="left" w:pos="7940"/>
        </w:tabs>
        <w:spacing w:before="24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774C64" w:rsidRPr="009A4256">
        <w:rPr>
          <w:rFonts w:eastAsia="Calibri"/>
          <w:b/>
        </w:rPr>
        <w:t xml:space="preserve"> līdz 2023.gada </w:t>
      </w:r>
      <w:r w:rsidR="00FA2AF8">
        <w:rPr>
          <w:rFonts w:eastAsia="Calibri"/>
          <w:b/>
        </w:rPr>
        <w:t>2</w:t>
      </w:r>
      <w:r w:rsidR="00B61359">
        <w:rPr>
          <w:rFonts w:eastAsia="Calibri"/>
          <w:b/>
        </w:rPr>
        <w:t>2</w:t>
      </w:r>
      <w:r w:rsidR="00774C64" w:rsidRPr="009A4256">
        <w:rPr>
          <w:rFonts w:eastAsia="Calibri"/>
          <w:b/>
        </w:rPr>
        <w:t xml:space="preserve">. </w:t>
      </w:r>
      <w:r w:rsidR="009C0893" w:rsidRPr="009A4256">
        <w:rPr>
          <w:rFonts w:eastAsia="Calibri"/>
          <w:b/>
        </w:rPr>
        <w:t>novembra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yperlink"/>
          </w:rPr>
          <w:t>jekaterina.tihomirova@bauskasslimnica.lv</w:t>
        </w:r>
      </w:hyperlink>
    </w:p>
    <w:p w14:paraId="75FC9B31" w14:textId="77777777" w:rsidR="009A4256" w:rsidRPr="009A4256" w:rsidRDefault="009A4256" w:rsidP="00FA2AF8">
      <w:pPr>
        <w:pStyle w:val="ListParagraph"/>
        <w:widowControl w:val="0"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76DA9E75" w14:textId="77777777" w:rsidR="00FA2AF8" w:rsidRDefault="00774C64" w:rsidP="00FA2AF8">
      <w:pPr>
        <w:pStyle w:val="ListParagraph"/>
        <w:widowControl w:val="0"/>
        <w:numPr>
          <w:ilvl w:val="0"/>
          <w:numId w:val="2"/>
        </w:numPr>
        <w:tabs>
          <w:tab w:val="left" w:pos="7940"/>
        </w:tabs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</w:p>
    <w:p w14:paraId="3BFDF1DB" w14:textId="77777777" w:rsidR="00FA2AF8" w:rsidRPr="00FA2AF8" w:rsidRDefault="00774C64" w:rsidP="00346BD5">
      <w:pPr>
        <w:pStyle w:val="ListParagraph"/>
        <w:widowControl w:val="0"/>
        <w:numPr>
          <w:ilvl w:val="1"/>
          <w:numId w:val="2"/>
        </w:numPr>
        <w:tabs>
          <w:tab w:val="left" w:pos="7940"/>
        </w:tabs>
        <w:spacing w:before="240" w:after="240"/>
        <w:ind w:left="788" w:hanging="431"/>
        <w:jc w:val="both"/>
        <w:outlineLvl w:val="1"/>
        <w:rPr>
          <w:b/>
          <w:bCs/>
          <w:iCs/>
        </w:rPr>
      </w:pPr>
      <w:r w:rsidRPr="001D569B">
        <w:t xml:space="preserve">Līguma izpildes laiks: </w:t>
      </w:r>
      <w:bookmarkStart w:id="0" w:name="_Hlk508779370"/>
      <w:r w:rsidR="001D569B" w:rsidRPr="008C3E22">
        <w:t xml:space="preserve">līgums stājās spēkā ar parakstīšanas </w:t>
      </w:r>
      <w:r w:rsidR="001D569B" w:rsidRPr="00D0100E">
        <w:t xml:space="preserve">brīdi un ir spēkā </w:t>
      </w:r>
      <w:r w:rsidR="001D569B">
        <w:t>12</w:t>
      </w:r>
      <w:r w:rsidR="001D569B" w:rsidRPr="00D0100E">
        <w:t xml:space="preserve"> mēnešus vai līdz </w:t>
      </w:r>
      <w:r w:rsidR="001D569B">
        <w:t xml:space="preserve">brīdim, </w:t>
      </w:r>
      <w:bookmarkEnd w:id="0"/>
      <w:r w:rsidR="00FA2AF8">
        <w:t xml:space="preserve">kad kopējā līguma summa par </w:t>
      </w:r>
      <w:r w:rsidR="001D569B" w:rsidRPr="003B10AA">
        <w:t xml:space="preserve">sniegtajiem pakalpojumiem sasniegs </w:t>
      </w:r>
      <w:r w:rsidR="001D569B">
        <w:t>9 000</w:t>
      </w:r>
      <w:r w:rsidR="001D569B" w:rsidRPr="00262881">
        <w:t xml:space="preserve"> EUR bez PVN, atkarībā no tā, kurš no nosacījumiem iestājas pirmais;</w:t>
      </w:r>
    </w:p>
    <w:p w14:paraId="18342212" w14:textId="77777777" w:rsidR="00FA2AF8" w:rsidRDefault="001D569B" w:rsidP="00346BD5">
      <w:pPr>
        <w:pStyle w:val="ListParagraph"/>
        <w:widowControl w:val="0"/>
        <w:numPr>
          <w:ilvl w:val="1"/>
          <w:numId w:val="2"/>
        </w:numPr>
        <w:tabs>
          <w:tab w:val="left" w:pos="7940"/>
        </w:tabs>
        <w:ind w:left="788" w:hanging="431"/>
        <w:jc w:val="both"/>
        <w:outlineLvl w:val="1"/>
        <w:rPr>
          <w:b/>
          <w:bCs/>
          <w:iCs/>
        </w:rPr>
      </w:pPr>
      <w:r w:rsidRPr="00FA2AF8">
        <w:t>Darba org</w:t>
      </w:r>
      <w:r w:rsidR="00FA2AF8" w:rsidRPr="00FA2AF8">
        <w:t>a</w:t>
      </w:r>
      <w:r w:rsidRPr="00FA2AF8">
        <w:t>nizēšana:</w:t>
      </w:r>
    </w:p>
    <w:p w14:paraId="230BD945" w14:textId="77777777" w:rsidR="00FA2AF8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>periodisko apkopi piesaka Pasūtītāja pārstāvis, vienojoties par vēlamo laiku. Tehniskā apkope ir jānodrošina nedēļas laikā no pieteikuma saņemšanas;</w:t>
      </w:r>
    </w:p>
    <w:p w14:paraId="189ADF8B" w14:textId="65CDB50E" w:rsidR="00FA2AF8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 xml:space="preserve">iekārtu bojājuma gadījumos iekārtas </w:t>
      </w:r>
      <w:proofErr w:type="spellStart"/>
      <w:r w:rsidRPr="001D569B">
        <w:t>defektācija</w:t>
      </w:r>
      <w:proofErr w:type="spellEnd"/>
      <w:r w:rsidRPr="001D569B">
        <w:t xml:space="preserve">, remonts un tehniskā palīdzība tiek nodrošināta </w:t>
      </w:r>
      <w:r w:rsidR="003C77D0">
        <w:t>atbilstoši iesniegtajam reaģēšanas</w:t>
      </w:r>
      <w:r w:rsidRPr="001D569B">
        <w:t xml:space="preserve"> laik</w:t>
      </w:r>
      <w:r w:rsidR="003C77D0">
        <w:t>am piedāvājuma</w:t>
      </w:r>
      <w:r w:rsidRPr="001D569B">
        <w:t xml:space="preserve"> no izsaukuma darba dienās;</w:t>
      </w:r>
    </w:p>
    <w:p w14:paraId="087EA92C" w14:textId="77777777" w:rsidR="00FA2AF8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 xml:space="preserve">iekārtu apkope, </w:t>
      </w:r>
      <w:proofErr w:type="spellStart"/>
      <w:r w:rsidRPr="001D569B">
        <w:t>defektācija</w:t>
      </w:r>
      <w:proofErr w:type="spellEnd"/>
      <w:r w:rsidRPr="001D569B">
        <w:t xml:space="preserve"> un r</w:t>
      </w:r>
      <w:r w:rsidR="00346BD5">
        <w:t xml:space="preserve">emonts </w:t>
      </w:r>
      <w:r w:rsidRPr="001D569B">
        <w:t>tikai izņēmuma gadījumos notiek ārpus slimnīcas, iepriekš Pusēm par to vienojoties;</w:t>
      </w:r>
    </w:p>
    <w:p w14:paraId="7E2CB002" w14:textId="77777777" w:rsidR="00346BD5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>apkope sevī ietver arī funkciju pārbaudi atbilstoši ražotāja tehniskajai dokumentācijai;</w:t>
      </w:r>
      <w:r w:rsidR="00346BD5">
        <w:t xml:space="preserve"> </w:t>
      </w:r>
      <w:r w:rsidRPr="001D569B">
        <w:t>ja pakalpojumu sniegšanas laikā veikti mērījumi, jāizsniedz testēšanas pārskats, norādot mērķa vērtības, izmērītos lielumus un izmantoto mērinstrumentu un materiālu (ja attiecināms) izsekojamību;</w:t>
      </w:r>
    </w:p>
    <w:p w14:paraId="13693151" w14:textId="77777777" w:rsidR="00346BD5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>visu veidu tehniskā apkalpošana (apkope un remonts) tiek veikta tikai pēc Pasūtītāja pieprasījuma;</w:t>
      </w:r>
    </w:p>
    <w:p w14:paraId="4595BC2E" w14:textId="77777777" w:rsidR="00346BD5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>remonta darbus vai iekārtas apkopes jādokumentē un jānoslēdz ar abpusēji parakstītu pieņemšanas-nodošanas aktu, servisa aktu, protokolu vai pavadzīmi-rēķinu;</w:t>
      </w:r>
    </w:p>
    <w:p w14:paraId="1C60FCB1" w14:textId="7DD9668F" w:rsidR="00346BD5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>
        <w:t>remonta nepieciešamības gadījumā tiek sast</w:t>
      </w:r>
      <w:r w:rsidR="00BB539B">
        <w:t>ā</w:t>
      </w:r>
      <w:r>
        <w:t xml:space="preserve">dīts </w:t>
      </w:r>
      <w:proofErr w:type="spellStart"/>
      <w:r>
        <w:t>defektācijas</w:t>
      </w:r>
      <w:proofErr w:type="spellEnd"/>
      <w:r>
        <w:t xml:space="preserve"> akts, kurā tiek iekļauti visi nepieciešami materiāli, rezerves daļas un stundu skaits remonta veikšanai</w:t>
      </w:r>
      <w:r w:rsidR="007832B9">
        <w:t>;</w:t>
      </w:r>
    </w:p>
    <w:p w14:paraId="4FCACCD2" w14:textId="77777777" w:rsidR="00346BD5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 xml:space="preserve">informēt Pasūtītāju tiklīdz attiecīgās iekārtas ražotājs plāno vai jau ir pārtraucis </w:t>
      </w:r>
      <w:r w:rsidRPr="001D569B">
        <w:lastRenderedPageBreak/>
        <w:t>iekārtas tehnisko pavadību;</w:t>
      </w:r>
    </w:p>
    <w:p w14:paraId="322068CF" w14:textId="77777777" w:rsidR="001D569B" w:rsidRPr="00346BD5" w:rsidRDefault="001D569B" w:rsidP="00346BD5">
      <w:pPr>
        <w:pStyle w:val="ListParagraph"/>
        <w:widowControl w:val="0"/>
        <w:numPr>
          <w:ilvl w:val="2"/>
          <w:numId w:val="2"/>
        </w:numPr>
        <w:tabs>
          <w:tab w:val="left" w:pos="1418"/>
        </w:tabs>
        <w:ind w:left="1225" w:hanging="505"/>
        <w:jc w:val="both"/>
        <w:outlineLvl w:val="1"/>
        <w:rPr>
          <w:b/>
          <w:bCs/>
          <w:iCs/>
        </w:rPr>
      </w:pPr>
      <w:r w:rsidRPr="001D569B">
        <w:t>nepieciešamības gadījumā pēc Pasūtītāja pieprasījuma jānodrošina bezmaksas lietotāju apmācību un lietošanas instrukcija.</w:t>
      </w:r>
    </w:p>
    <w:p w14:paraId="2061A2D8" w14:textId="77777777" w:rsidR="00774C64" w:rsidRDefault="001D569B" w:rsidP="005D31A7">
      <w:pPr>
        <w:numPr>
          <w:ilvl w:val="1"/>
          <w:numId w:val="3"/>
        </w:numPr>
        <w:spacing w:before="24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Pakalpojuma sniegšanas vieta</w:t>
      </w:r>
      <w:r w:rsidR="00774C64">
        <w:rPr>
          <w:rFonts w:ascii="Times New Roman" w:eastAsia="Times New Roman" w:hAnsi="Times New Roman" w:cs="Times New Roman"/>
          <w:sz w:val="24"/>
          <w:szCs w:val="24"/>
        </w:rPr>
        <w:t>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7/2</w:t>
      </w:r>
      <w:r w:rsidR="00774C64"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5CB1038C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0DE1EBDA" w14:textId="77777777" w:rsidR="00FA2AF8" w:rsidRPr="00346BD5" w:rsidRDefault="00346BD5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Stundas likmē</w:t>
      </w:r>
      <w:r w:rsidR="00FA2AF8" w:rsidRPr="00FA2AF8">
        <w:rPr>
          <w:rFonts w:ascii="Times New Roman" w:hAnsi="Times New Roman" w:cs="Times New Roman"/>
          <w:sz w:val="24"/>
          <w:szCs w:val="24"/>
        </w:rPr>
        <w:t xml:space="preserve"> jāiekļauj visi ar iepirkuma līguma izpildi saistītie izdevumi, t.sk., administratīvās izmaksas (piemēram, piegādes izdevumi, </w:t>
      </w:r>
      <w:r w:rsidR="00FA2AF8">
        <w:rPr>
          <w:rFonts w:ascii="Times New Roman" w:hAnsi="Times New Roman" w:cs="Times New Roman"/>
          <w:sz w:val="24"/>
          <w:szCs w:val="24"/>
        </w:rPr>
        <w:t xml:space="preserve">transports, </w:t>
      </w:r>
      <w:r w:rsidR="00FA2AF8" w:rsidRPr="00FA2AF8">
        <w:rPr>
          <w:rFonts w:ascii="Times New Roman" w:hAnsi="Times New Roman" w:cs="Times New Roman"/>
          <w:sz w:val="24"/>
          <w:szCs w:val="24"/>
        </w:rPr>
        <w:t>visa veida sakaru izmaksas u.c.).</w:t>
      </w:r>
    </w:p>
    <w:p w14:paraId="2F21C371" w14:textId="77777777" w:rsidR="00346BD5" w:rsidRPr="00FA2AF8" w:rsidRDefault="00346BD5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Stundas maksimālā likme 60 EUR bez PVN.</w:t>
      </w:r>
    </w:p>
    <w:p w14:paraId="3D539733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4ADC4E80" w14:textId="77777777" w:rsidR="00774C64" w:rsidRDefault="00774C64" w:rsidP="00346BD5">
      <w:pPr>
        <w:numPr>
          <w:ilvl w:val="1"/>
          <w:numId w:val="7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00BC6F94" w14:textId="77777777" w:rsidR="00774C64" w:rsidRDefault="00774C64" w:rsidP="00346BD5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58112388" w14:textId="77777777" w:rsidR="00774C64" w:rsidRDefault="00774C64" w:rsidP="00346BD5">
      <w:pPr>
        <w:numPr>
          <w:ilvl w:val="1"/>
          <w:numId w:val="7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</w:t>
      </w:r>
      <w:r w:rsidR="007832B9">
        <w:rPr>
          <w:rFonts w:ascii="Times New Roman" w:eastAsia="Calibri" w:hAnsi="Times New Roman" w:cs="Times New Roman"/>
          <w:sz w:val="24"/>
          <w:szCs w:val="24"/>
        </w:rPr>
        <w:t>Tehniskais – finanšu piedāvājums</w:t>
      </w:r>
      <w:r>
        <w:rPr>
          <w:rFonts w:ascii="Times New Roman" w:eastAsia="Calibri" w:hAnsi="Times New Roman" w:cs="Times New Roman"/>
          <w:sz w:val="24"/>
          <w:szCs w:val="24"/>
        </w:rPr>
        <w:t>, atbilstoši 1.pielikumam.</w:t>
      </w:r>
    </w:p>
    <w:p w14:paraId="248CFD0A" w14:textId="77777777" w:rsidR="00774C64" w:rsidRPr="001D569B" w:rsidRDefault="00774C64" w:rsidP="00346BD5">
      <w:pPr>
        <w:numPr>
          <w:ilvl w:val="1"/>
          <w:numId w:val="7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4FD42566" w14:textId="77777777" w:rsidR="007832B9" w:rsidRDefault="007832B9" w:rsidP="00346BD5">
      <w:pPr>
        <w:numPr>
          <w:ilvl w:val="1"/>
          <w:numId w:val="7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Brīvā formā sagatavotu apliecinājum</w:t>
      </w:r>
      <w:r w:rsidR="00346BD5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 to, ka:</w:t>
      </w:r>
    </w:p>
    <w:p w14:paraId="18AB9FCF" w14:textId="77777777" w:rsidR="007832B9" w:rsidRPr="007832B9" w:rsidRDefault="007832B9" w:rsidP="00346BD5">
      <w:pPr>
        <w:numPr>
          <w:ilvl w:val="2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30B">
        <w:rPr>
          <w:rFonts w:ascii="Times New Roman" w:eastAsia="Times New Roman" w:hAnsi="Times New Roman"/>
          <w:sz w:val="24"/>
          <w:szCs w:val="24"/>
        </w:rPr>
        <w:t>iekārtas tehnisk</w:t>
      </w:r>
      <w:r>
        <w:rPr>
          <w:rFonts w:ascii="Times New Roman" w:eastAsia="Times New Roman" w:hAnsi="Times New Roman"/>
          <w:sz w:val="24"/>
          <w:szCs w:val="24"/>
        </w:rPr>
        <w:t>ajā</w:t>
      </w:r>
      <w:r w:rsidRPr="00D4730B">
        <w:rPr>
          <w:rFonts w:ascii="Times New Roman" w:eastAsia="Times New Roman" w:hAnsi="Times New Roman"/>
          <w:sz w:val="24"/>
          <w:szCs w:val="24"/>
        </w:rPr>
        <w:t xml:space="preserve"> apkalpošan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Pr="00D4730B">
        <w:rPr>
          <w:rFonts w:ascii="Times New Roman" w:eastAsia="Times New Roman" w:hAnsi="Times New Roman"/>
          <w:sz w:val="24"/>
          <w:szCs w:val="24"/>
        </w:rPr>
        <w:t xml:space="preserve"> izmanto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D4730B">
        <w:rPr>
          <w:rFonts w:ascii="Times New Roman" w:eastAsia="Times New Roman" w:hAnsi="Times New Roman"/>
          <w:sz w:val="24"/>
          <w:szCs w:val="24"/>
        </w:rPr>
        <w:t xml:space="preserve"> ražotāja sertificētas rezerves detaļas, ko būs iespējams apliecināt ar atbilstošiem dokumentiem</w:t>
      </w:r>
    </w:p>
    <w:p w14:paraId="0B1E954E" w14:textId="77777777" w:rsidR="007832B9" w:rsidRDefault="007832B9" w:rsidP="00346BD5">
      <w:pPr>
        <w:pStyle w:val="ListParagraph"/>
        <w:numPr>
          <w:ilvl w:val="2"/>
          <w:numId w:val="7"/>
        </w:numPr>
        <w:shd w:val="clear" w:color="auto" w:fill="FFFFFF"/>
        <w:tabs>
          <w:tab w:val="left" w:pos="993"/>
        </w:tabs>
        <w:suppressAutoHyphens/>
        <w:autoSpaceDN w:val="0"/>
        <w:contextualSpacing w:val="0"/>
        <w:jc w:val="both"/>
        <w:textAlignment w:val="baseline"/>
      </w:pPr>
      <w:r w:rsidRPr="00D4730B">
        <w:t>uzņemas pilnu atbildību par apkopju atbilstību ražotāja prasībām un pēc pieprasījuma var to atbilstību apliecināt;</w:t>
      </w:r>
    </w:p>
    <w:p w14:paraId="2F52814B" w14:textId="77777777" w:rsidR="007832B9" w:rsidRDefault="007832B9" w:rsidP="00346BD5">
      <w:pPr>
        <w:pStyle w:val="ListParagraph"/>
        <w:numPr>
          <w:ilvl w:val="2"/>
          <w:numId w:val="7"/>
        </w:numPr>
        <w:shd w:val="clear" w:color="auto" w:fill="FFFFFF"/>
        <w:tabs>
          <w:tab w:val="left" w:pos="993"/>
        </w:tabs>
        <w:suppressAutoHyphens/>
        <w:autoSpaceDN w:val="0"/>
        <w:contextualSpacing w:val="0"/>
        <w:jc w:val="both"/>
        <w:textAlignment w:val="baseline"/>
      </w:pPr>
      <w:r w:rsidRPr="00D4730B">
        <w:t>nomainītajām rezerves daļām, materiāliem un ar to nomaiņu saistītiem remontdarbiem Pretendents nosaka garantijas termiņu vismaz 6 mēnešu apmērā, ja vien Puses nevienojas citādi</w:t>
      </w:r>
      <w:r>
        <w:t>.</w:t>
      </w:r>
    </w:p>
    <w:p w14:paraId="0B36D751" w14:textId="77777777" w:rsidR="007832B9" w:rsidRDefault="007832B9" w:rsidP="00346BD5">
      <w:pPr>
        <w:pStyle w:val="ListParagraph"/>
        <w:numPr>
          <w:ilvl w:val="1"/>
          <w:numId w:val="7"/>
        </w:numPr>
        <w:shd w:val="clear" w:color="auto" w:fill="FFFFFF"/>
        <w:tabs>
          <w:tab w:val="left" w:pos="993"/>
        </w:tabs>
        <w:suppressAutoHyphens/>
        <w:autoSpaceDN w:val="0"/>
        <w:spacing w:line="360" w:lineRule="auto"/>
        <w:ind w:left="782" w:hanging="357"/>
        <w:contextualSpacing w:val="0"/>
        <w:textAlignment w:val="baseline"/>
      </w:pPr>
      <w:r>
        <w:t xml:space="preserve"> Servisa akta paraugs.</w:t>
      </w:r>
    </w:p>
    <w:p w14:paraId="51EEF353" w14:textId="6CCF5065" w:rsidR="007832B9" w:rsidRDefault="007832B9" w:rsidP="00346BD5">
      <w:pPr>
        <w:pStyle w:val="ListParagraph"/>
        <w:numPr>
          <w:ilvl w:val="1"/>
          <w:numId w:val="7"/>
        </w:numPr>
        <w:shd w:val="clear" w:color="auto" w:fill="FFFFFF"/>
        <w:tabs>
          <w:tab w:val="left" w:pos="993"/>
        </w:tabs>
        <w:suppressAutoHyphens/>
        <w:autoSpaceDN w:val="0"/>
        <w:spacing w:line="360" w:lineRule="auto"/>
        <w:ind w:left="992" w:hanging="567"/>
        <w:contextualSpacing w:val="0"/>
        <w:textAlignment w:val="baseline"/>
      </w:pPr>
      <w:r>
        <w:t xml:space="preserve"> Iekārtas ražotāja autorizācijas vēstule</w:t>
      </w:r>
      <w:r w:rsidR="006234EC">
        <w:t>, kas apliecina pretendenta tiesības veikt iekārtas servisu</w:t>
      </w:r>
      <w:r>
        <w:t>.</w:t>
      </w:r>
    </w:p>
    <w:p w14:paraId="56F99A22" w14:textId="77777777" w:rsidR="007832B9" w:rsidRDefault="007832B9" w:rsidP="00346BD5">
      <w:pPr>
        <w:pStyle w:val="ListParagraph"/>
        <w:numPr>
          <w:ilvl w:val="1"/>
          <w:numId w:val="7"/>
        </w:numPr>
        <w:shd w:val="clear" w:color="auto" w:fill="FFFFFF"/>
        <w:tabs>
          <w:tab w:val="left" w:pos="993"/>
        </w:tabs>
        <w:suppressAutoHyphens/>
        <w:autoSpaceDN w:val="0"/>
        <w:ind w:left="993" w:hanging="567"/>
        <w:contextualSpacing w:val="0"/>
        <w:textAlignment w:val="baseline"/>
      </w:pPr>
      <w:r>
        <w:t>Iekārtas ražotāja izsniegto apmācības sertifikātu.</w:t>
      </w:r>
    </w:p>
    <w:p w14:paraId="409AE22B" w14:textId="77777777" w:rsidR="007832B9" w:rsidRPr="007832B9" w:rsidRDefault="007832B9" w:rsidP="007832B9">
      <w:pPr>
        <w:shd w:val="clear" w:color="auto" w:fill="FFFFFF"/>
        <w:tabs>
          <w:tab w:val="left" w:pos="993"/>
        </w:tabs>
        <w:suppressAutoHyphens/>
        <w:autoSpaceDN w:val="0"/>
        <w:ind w:left="2160"/>
        <w:jc w:val="both"/>
        <w:textAlignment w:val="baseline"/>
      </w:pPr>
    </w:p>
    <w:p w14:paraId="10E360F8" w14:textId="77777777" w:rsidR="00774C64" w:rsidRDefault="00774C64" w:rsidP="00346BD5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0743BDA0" w14:textId="77777777" w:rsidR="003C77D0" w:rsidRDefault="003C77D0" w:rsidP="003C77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6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514"/>
        <w:gridCol w:w="15"/>
        <w:gridCol w:w="3118"/>
        <w:gridCol w:w="8"/>
      </w:tblGrid>
      <w:tr w:rsidR="003C77D0" w:rsidRPr="003C77D0" w14:paraId="67BE8B3E" w14:textId="77777777" w:rsidTr="003C77D0">
        <w:trPr>
          <w:trHeight w:val="567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C8992" w14:textId="77777777" w:rsidR="003C77D0" w:rsidRPr="003C77D0" w:rsidRDefault="003C77D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7D0">
              <w:rPr>
                <w:rFonts w:ascii="Times New Roman" w:hAnsi="Times New Roman" w:cs="Times New Roman"/>
                <w:b/>
                <w:bCs/>
                <w:color w:val="000000"/>
              </w:rPr>
              <w:t>Saimnieciski izdevīgākā piedāvājuma vērtēšanas kritēriji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6808D" w14:textId="77777777" w:rsidR="003C77D0" w:rsidRPr="003C77D0" w:rsidRDefault="003C77D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77D0">
              <w:rPr>
                <w:rFonts w:ascii="Times New Roman" w:hAnsi="Times New Roman" w:cs="Times New Roman"/>
                <w:b/>
                <w:bCs/>
                <w:color w:val="000000"/>
              </w:rPr>
              <w:t>Maksimālā skaitliskā vērtība</w:t>
            </w:r>
          </w:p>
        </w:tc>
      </w:tr>
      <w:tr w:rsidR="003C77D0" w:rsidRPr="003C77D0" w14:paraId="77E3B191" w14:textId="77777777" w:rsidTr="003C77D0">
        <w:trPr>
          <w:gridAfter w:val="1"/>
          <w:wAfter w:w="8" w:type="dxa"/>
          <w:trHeight w:val="5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0CAA1" w14:textId="77777777" w:rsidR="003C77D0" w:rsidRPr="003C77D0" w:rsidRDefault="003C77D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7D0">
              <w:rPr>
                <w:rFonts w:ascii="Times New Roman" w:hAnsi="Times New Roman" w:cs="Times New Roman"/>
                <w:color w:val="000000"/>
              </w:rPr>
              <w:t>Darba stundas likme (EUR bez PVN) remontu un apkopju veikšanai</w:t>
            </w:r>
          </w:p>
          <w:p w14:paraId="179A34B1" w14:textId="7A48EADC" w:rsidR="003C77D0" w:rsidRPr="003C77D0" w:rsidRDefault="003C77D0">
            <w:pPr>
              <w:pStyle w:val="ListParagraph"/>
              <w:shd w:val="clear" w:color="auto" w:fill="FFFFFF"/>
              <w:tabs>
                <w:tab w:val="left" w:pos="1134"/>
              </w:tabs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3C77D0">
              <w:rPr>
                <w:sz w:val="22"/>
                <w:szCs w:val="22"/>
              </w:rPr>
              <w:t>Piedāvājumam ar viszemāko darba stundas likmi (EUR bez PVN) apkopju un remontu veikšanai tiek piešķirts maksimālais punktu skaits (75), bet pārējiem piedāvājumiem punkti tiks aprēķināti saskaņā ar formulu:</w:t>
            </w:r>
          </w:p>
          <w:p w14:paraId="11E4389B" w14:textId="77777777" w:rsidR="003C77D0" w:rsidRPr="003C77D0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3C77D0">
              <w:rPr>
                <w:rFonts w:ascii="Times New Roman" w:hAnsi="Times New Roman" w:cs="Times New Roman"/>
              </w:rPr>
              <w:tab/>
              <w:t>P=</w:t>
            </w:r>
            <w:proofErr w:type="spellStart"/>
            <w:r w:rsidRPr="003C77D0">
              <w:rPr>
                <w:rFonts w:ascii="Times New Roman" w:hAnsi="Times New Roman" w:cs="Times New Roman"/>
              </w:rPr>
              <w:t>Ax</w:t>
            </w:r>
            <w:proofErr w:type="spellEnd"/>
            <w:r w:rsidRPr="003C77D0">
              <w:rPr>
                <w:rFonts w:ascii="Times New Roman" w:hAnsi="Times New Roman" w:cs="Times New Roman"/>
              </w:rPr>
              <w:t>/</w:t>
            </w:r>
            <w:proofErr w:type="spellStart"/>
            <w:r w:rsidRPr="003C77D0">
              <w:rPr>
                <w:rFonts w:ascii="Times New Roman" w:hAnsi="Times New Roman" w:cs="Times New Roman"/>
              </w:rPr>
              <w:t>Ay</w:t>
            </w:r>
            <w:proofErr w:type="spellEnd"/>
            <w:r w:rsidRPr="003C77D0">
              <w:rPr>
                <w:rFonts w:ascii="Times New Roman" w:hAnsi="Times New Roman" w:cs="Times New Roman"/>
              </w:rPr>
              <w:t>*</w:t>
            </w:r>
            <w:proofErr w:type="spellStart"/>
            <w:r w:rsidRPr="003C77D0">
              <w:rPr>
                <w:rFonts w:ascii="Times New Roman" w:hAnsi="Times New Roman" w:cs="Times New Roman"/>
              </w:rPr>
              <w:t>Pmax</w:t>
            </w:r>
            <w:proofErr w:type="spellEnd"/>
            <w:r w:rsidRPr="003C77D0">
              <w:rPr>
                <w:rFonts w:ascii="Times New Roman" w:hAnsi="Times New Roman" w:cs="Times New Roman"/>
              </w:rPr>
              <w:t>, kur:</w:t>
            </w:r>
          </w:p>
          <w:p w14:paraId="7B5C3EAA" w14:textId="77777777" w:rsidR="003C77D0" w:rsidRPr="003C77D0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3C77D0">
              <w:rPr>
                <w:rFonts w:ascii="Times New Roman" w:hAnsi="Times New Roman" w:cs="Times New Roman"/>
              </w:rPr>
              <w:lastRenderedPageBreak/>
              <w:tab/>
            </w:r>
            <w:proofErr w:type="spellStart"/>
            <w:r w:rsidRPr="003C77D0">
              <w:rPr>
                <w:rFonts w:ascii="Times New Roman" w:hAnsi="Times New Roman" w:cs="Times New Roman"/>
              </w:rPr>
              <w:t>Ax</w:t>
            </w:r>
            <w:proofErr w:type="spellEnd"/>
            <w:r w:rsidRPr="003C77D0">
              <w:rPr>
                <w:rFonts w:ascii="Times New Roman" w:hAnsi="Times New Roman" w:cs="Times New Roman"/>
              </w:rPr>
              <w:t xml:space="preserve"> – zemākā stundas likme,</w:t>
            </w:r>
          </w:p>
          <w:p w14:paraId="1CDCEDFB" w14:textId="77777777" w:rsidR="003C77D0" w:rsidRPr="003C77D0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3C77D0">
              <w:rPr>
                <w:rFonts w:ascii="Times New Roman" w:hAnsi="Times New Roman" w:cs="Times New Roman"/>
              </w:rPr>
              <w:tab/>
            </w:r>
            <w:proofErr w:type="spellStart"/>
            <w:r w:rsidRPr="003C77D0">
              <w:rPr>
                <w:rFonts w:ascii="Times New Roman" w:hAnsi="Times New Roman" w:cs="Times New Roman"/>
              </w:rPr>
              <w:t>Ay</w:t>
            </w:r>
            <w:proofErr w:type="spellEnd"/>
            <w:r w:rsidRPr="003C77D0">
              <w:rPr>
                <w:rFonts w:ascii="Times New Roman" w:hAnsi="Times New Roman" w:cs="Times New Roman"/>
              </w:rPr>
              <w:t xml:space="preserve"> – vērtējamā stundas likme,</w:t>
            </w:r>
          </w:p>
          <w:p w14:paraId="62A27126" w14:textId="77777777" w:rsidR="003C77D0" w:rsidRPr="003C77D0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3C77D0">
              <w:rPr>
                <w:rFonts w:ascii="Times New Roman" w:hAnsi="Times New Roman" w:cs="Times New Roman"/>
              </w:rPr>
              <w:tab/>
            </w:r>
            <w:proofErr w:type="spellStart"/>
            <w:r w:rsidRPr="003C77D0">
              <w:rPr>
                <w:rFonts w:ascii="Times New Roman" w:hAnsi="Times New Roman" w:cs="Times New Roman"/>
              </w:rPr>
              <w:t>Pmax</w:t>
            </w:r>
            <w:proofErr w:type="spellEnd"/>
            <w:r w:rsidRPr="003C77D0">
              <w:rPr>
                <w:rFonts w:ascii="Times New Roman" w:hAnsi="Times New Roman" w:cs="Times New Roman"/>
              </w:rPr>
              <w:t>– noteiktais maksimālais punktu skaits kritērijā,</w:t>
            </w:r>
          </w:p>
          <w:p w14:paraId="0CDBBD23" w14:textId="77777777" w:rsidR="003C77D0" w:rsidRPr="003C77D0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3C77D0">
              <w:rPr>
                <w:rFonts w:ascii="Times New Roman" w:hAnsi="Times New Roman" w:cs="Times New Roman"/>
              </w:rPr>
              <w:tab/>
              <w:t>P- vērtējamā piedāvājuma iegūtais punktu skaits kritērijā.</w:t>
            </w:r>
          </w:p>
          <w:p w14:paraId="64F3A4A1" w14:textId="5C21C84E" w:rsidR="003C77D0" w:rsidRPr="003C77D0" w:rsidRDefault="003C77D0">
            <w:pPr>
              <w:pStyle w:val="ListParagraph"/>
              <w:shd w:val="clear" w:color="auto" w:fill="FFFFFF"/>
              <w:tabs>
                <w:tab w:val="left" w:pos="1134"/>
              </w:tabs>
              <w:spacing w:before="120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A82D" w14:textId="3B8AEFE4" w:rsidR="003C77D0" w:rsidRPr="003C77D0" w:rsidRDefault="003C77D0">
            <w:pPr>
              <w:pStyle w:val="Footer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7</w:t>
            </w:r>
            <w:r w:rsidRPr="003C77D0"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3C77D0" w:rsidRPr="003C77D0" w14:paraId="7322AD48" w14:textId="77777777" w:rsidTr="003C77D0">
        <w:trPr>
          <w:gridAfter w:val="1"/>
          <w:wAfter w:w="8" w:type="dxa"/>
          <w:trHeight w:val="5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0052E" w14:textId="157C460C" w:rsidR="003C77D0" w:rsidRPr="003C77D0" w:rsidRDefault="003C77D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Reaģēšanas laiks uz izsaukumu</w:t>
            </w:r>
            <w:r w:rsidRPr="003C77D0">
              <w:rPr>
                <w:rFonts w:ascii="Times New Roman" w:hAnsi="Times New Roman" w:cs="Times New Roman"/>
                <w:color w:val="000000"/>
              </w:rPr>
              <w:t xml:space="preserve"> (EUR bez PVN) </w:t>
            </w:r>
          </w:p>
          <w:p w14:paraId="68739923" w14:textId="60F8E132" w:rsidR="003C77D0" w:rsidRPr="00BB539B" w:rsidRDefault="003C77D0">
            <w:pPr>
              <w:pStyle w:val="ListParagraph"/>
              <w:shd w:val="clear" w:color="auto" w:fill="FFFFFF"/>
              <w:tabs>
                <w:tab w:val="left" w:pos="1134"/>
              </w:tabs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BB539B">
              <w:rPr>
                <w:sz w:val="22"/>
                <w:szCs w:val="22"/>
              </w:rPr>
              <w:t>Piedāvājumam ar zemāko reaģēšanas laiku (stundas) tiek piešķirts maksimālais punktu skaits (25), bet pārējiem piedāvājumiem punkti tiks aprēķināti saskaņā ar formulu:</w:t>
            </w:r>
          </w:p>
          <w:p w14:paraId="35C6D56B" w14:textId="77777777" w:rsidR="003C77D0" w:rsidRPr="00BB539B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BB539B">
              <w:rPr>
                <w:rFonts w:ascii="Times New Roman" w:hAnsi="Times New Roman" w:cs="Times New Roman"/>
              </w:rPr>
              <w:tab/>
              <w:t>P=</w:t>
            </w:r>
            <w:proofErr w:type="spellStart"/>
            <w:r w:rsidRPr="00BB539B">
              <w:rPr>
                <w:rFonts w:ascii="Times New Roman" w:hAnsi="Times New Roman" w:cs="Times New Roman"/>
              </w:rPr>
              <w:t>Bx</w:t>
            </w:r>
            <w:proofErr w:type="spellEnd"/>
            <w:r w:rsidRPr="00BB539B">
              <w:rPr>
                <w:rFonts w:ascii="Times New Roman" w:hAnsi="Times New Roman" w:cs="Times New Roman"/>
              </w:rPr>
              <w:t>/</w:t>
            </w:r>
            <w:proofErr w:type="spellStart"/>
            <w:r w:rsidRPr="00BB539B">
              <w:rPr>
                <w:rFonts w:ascii="Times New Roman" w:hAnsi="Times New Roman" w:cs="Times New Roman"/>
              </w:rPr>
              <w:t>By</w:t>
            </w:r>
            <w:proofErr w:type="spellEnd"/>
            <w:r w:rsidRPr="00BB539B">
              <w:rPr>
                <w:rFonts w:ascii="Times New Roman" w:hAnsi="Times New Roman" w:cs="Times New Roman"/>
              </w:rPr>
              <w:t>*</w:t>
            </w:r>
            <w:proofErr w:type="spellStart"/>
            <w:r w:rsidRPr="00BB539B">
              <w:rPr>
                <w:rFonts w:ascii="Times New Roman" w:hAnsi="Times New Roman" w:cs="Times New Roman"/>
              </w:rPr>
              <w:t>Pmax</w:t>
            </w:r>
            <w:proofErr w:type="spellEnd"/>
            <w:r w:rsidRPr="00BB539B">
              <w:rPr>
                <w:rFonts w:ascii="Times New Roman" w:hAnsi="Times New Roman" w:cs="Times New Roman"/>
              </w:rPr>
              <w:t>, kur:</w:t>
            </w:r>
          </w:p>
          <w:p w14:paraId="27F62D75" w14:textId="33ED7AFD" w:rsidR="003C77D0" w:rsidRPr="00BB539B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BB539B">
              <w:rPr>
                <w:rFonts w:ascii="Times New Roman" w:hAnsi="Times New Roman" w:cs="Times New Roman"/>
              </w:rPr>
              <w:tab/>
            </w:r>
            <w:proofErr w:type="spellStart"/>
            <w:r w:rsidRPr="00BB539B">
              <w:rPr>
                <w:rFonts w:ascii="Times New Roman" w:hAnsi="Times New Roman" w:cs="Times New Roman"/>
              </w:rPr>
              <w:t>Bx</w:t>
            </w:r>
            <w:proofErr w:type="spellEnd"/>
            <w:r w:rsidRPr="00BB539B">
              <w:rPr>
                <w:rFonts w:ascii="Times New Roman" w:hAnsi="Times New Roman" w:cs="Times New Roman"/>
              </w:rPr>
              <w:t xml:space="preserve"> – ātrākais reaģēšanas </w:t>
            </w:r>
            <w:proofErr w:type="spellStart"/>
            <w:r w:rsidRPr="00BB539B">
              <w:rPr>
                <w:rFonts w:ascii="Times New Roman" w:hAnsi="Times New Roman" w:cs="Times New Roman"/>
              </w:rPr>
              <w:t>laiks,stundas</w:t>
            </w:r>
            <w:proofErr w:type="spellEnd"/>
          </w:p>
          <w:p w14:paraId="2A3AB533" w14:textId="4A48AFED" w:rsidR="003C77D0" w:rsidRPr="00BB539B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BB539B">
              <w:rPr>
                <w:rFonts w:ascii="Times New Roman" w:hAnsi="Times New Roman" w:cs="Times New Roman"/>
              </w:rPr>
              <w:tab/>
            </w:r>
            <w:proofErr w:type="spellStart"/>
            <w:r w:rsidRPr="00BB539B">
              <w:rPr>
                <w:rFonts w:ascii="Times New Roman" w:hAnsi="Times New Roman" w:cs="Times New Roman"/>
              </w:rPr>
              <w:t>By</w:t>
            </w:r>
            <w:proofErr w:type="spellEnd"/>
            <w:r w:rsidRPr="00BB539B">
              <w:rPr>
                <w:rFonts w:ascii="Times New Roman" w:hAnsi="Times New Roman" w:cs="Times New Roman"/>
              </w:rPr>
              <w:t xml:space="preserve"> – vērtējamā reaģēšanas </w:t>
            </w:r>
            <w:proofErr w:type="spellStart"/>
            <w:r w:rsidRPr="00BB539B">
              <w:rPr>
                <w:rFonts w:ascii="Times New Roman" w:hAnsi="Times New Roman" w:cs="Times New Roman"/>
              </w:rPr>
              <w:t>laiks,stundas</w:t>
            </w:r>
            <w:proofErr w:type="spellEnd"/>
          </w:p>
          <w:p w14:paraId="29463B3F" w14:textId="77777777" w:rsidR="003C77D0" w:rsidRPr="00BB539B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BB539B">
              <w:rPr>
                <w:rFonts w:ascii="Times New Roman" w:hAnsi="Times New Roman" w:cs="Times New Roman"/>
              </w:rPr>
              <w:tab/>
            </w:r>
            <w:proofErr w:type="spellStart"/>
            <w:r w:rsidRPr="00BB539B">
              <w:rPr>
                <w:rFonts w:ascii="Times New Roman" w:hAnsi="Times New Roman" w:cs="Times New Roman"/>
              </w:rPr>
              <w:t>Pmax</w:t>
            </w:r>
            <w:proofErr w:type="spellEnd"/>
            <w:r w:rsidRPr="00BB539B">
              <w:rPr>
                <w:rFonts w:ascii="Times New Roman" w:hAnsi="Times New Roman" w:cs="Times New Roman"/>
              </w:rPr>
              <w:t>– noteiktais maksimālais punktu skaits kritērijā,</w:t>
            </w:r>
          </w:p>
          <w:p w14:paraId="065BB1F0" w14:textId="77777777" w:rsidR="003C77D0" w:rsidRPr="003C77D0" w:rsidRDefault="003C77D0">
            <w:pPr>
              <w:tabs>
                <w:tab w:val="left" w:pos="1494"/>
              </w:tabs>
              <w:ind w:left="458" w:hanging="42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B539B">
              <w:rPr>
                <w:rFonts w:ascii="Times New Roman" w:hAnsi="Times New Roman" w:cs="Times New Roman"/>
              </w:rPr>
              <w:tab/>
              <w:t>P- vērtējamā piedāvājuma iegūtais punktu skaits kritērijā.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F3B2" w14:textId="77777777" w:rsidR="003C77D0" w:rsidRPr="003C77D0" w:rsidRDefault="003C77D0">
            <w:pPr>
              <w:pStyle w:val="Footer"/>
              <w:snapToGri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3C77D0">
              <w:rPr>
                <w:iCs/>
                <w:color w:val="000000"/>
                <w:sz w:val="22"/>
                <w:szCs w:val="22"/>
              </w:rPr>
              <w:t>25</w:t>
            </w:r>
          </w:p>
        </w:tc>
      </w:tr>
    </w:tbl>
    <w:p w14:paraId="1436D853" w14:textId="77777777" w:rsidR="003C77D0" w:rsidRDefault="003C77D0" w:rsidP="003C77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0BB94C" w14:textId="268CB25A" w:rsidR="00774C64" w:rsidRDefault="003C77D0" w:rsidP="00346BD5">
      <w:pPr>
        <w:numPr>
          <w:ilvl w:val="1"/>
          <w:numId w:val="7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Saimnieciski izdevīgākais piedāvājums</w:t>
      </w:r>
      <w:r w:rsidR="002B45B0">
        <w:rPr>
          <w:rFonts w:ascii="Times New Roman" w:eastAsia="Calibri" w:hAnsi="Times New Roman" w:cs="Times New Roman"/>
          <w:sz w:val="24"/>
          <w:szCs w:val="24"/>
        </w:rPr>
        <w:t xml:space="preserve"> un atbilstība pasūtītāja prasībām.</w:t>
      </w:r>
    </w:p>
    <w:p w14:paraId="22D08316" w14:textId="77777777" w:rsidR="00774C64" w:rsidRDefault="00774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4419AD1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53DD03C4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0E646C0" w14:textId="77777777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B31B7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Apskates lampas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iegāde</w:t>
      </w: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SIA Bauskas slimnīca</w:t>
      </w: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7D3517B3" w14:textId="6615D9EE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B61359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B613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B613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Pr="00B613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78DB3A11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4F8AC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4497048D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8AA2DE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5D472ED6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0967042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65D886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C0D55BA" w14:textId="77777777" w:rsidTr="000473AD">
        <w:trPr>
          <w:cantSplit/>
        </w:trPr>
        <w:tc>
          <w:tcPr>
            <w:tcW w:w="3539" w:type="dxa"/>
            <w:gridSpan w:val="2"/>
          </w:tcPr>
          <w:p w14:paraId="0EDCA9E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26EB47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2E3FA90" w14:textId="77777777" w:rsidTr="000473AD">
        <w:trPr>
          <w:cantSplit/>
        </w:trPr>
        <w:tc>
          <w:tcPr>
            <w:tcW w:w="3539" w:type="dxa"/>
            <w:gridSpan w:val="2"/>
          </w:tcPr>
          <w:p w14:paraId="169E9205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C548E4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736BEC4" w14:textId="77777777" w:rsidTr="000473AD">
        <w:trPr>
          <w:cantSplit/>
        </w:trPr>
        <w:tc>
          <w:tcPr>
            <w:tcW w:w="3539" w:type="dxa"/>
            <w:gridSpan w:val="2"/>
          </w:tcPr>
          <w:p w14:paraId="6F1030F0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B32641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A3B3F4E" w14:textId="77777777" w:rsidTr="000473AD">
        <w:trPr>
          <w:cantSplit/>
        </w:trPr>
        <w:tc>
          <w:tcPr>
            <w:tcW w:w="3539" w:type="dxa"/>
            <w:gridSpan w:val="2"/>
          </w:tcPr>
          <w:p w14:paraId="4A413B1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384018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D5D8C26" w14:textId="77777777" w:rsidTr="000473AD">
        <w:trPr>
          <w:cantSplit/>
        </w:trPr>
        <w:tc>
          <w:tcPr>
            <w:tcW w:w="3539" w:type="dxa"/>
            <w:gridSpan w:val="2"/>
          </w:tcPr>
          <w:p w14:paraId="0DF8741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F899D20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2DC1F21" w14:textId="77777777" w:rsidTr="000473AD">
        <w:trPr>
          <w:cantSplit/>
        </w:trPr>
        <w:tc>
          <w:tcPr>
            <w:tcW w:w="3539" w:type="dxa"/>
            <w:gridSpan w:val="2"/>
          </w:tcPr>
          <w:p w14:paraId="78D6582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1FFF16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FB94B53" w14:textId="77777777" w:rsidTr="000473AD">
        <w:trPr>
          <w:cantSplit/>
        </w:trPr>
        <w:tc>
          <w:tcPr>
            <w:tcW w:w="3539" w:type="dxa"/>
            <w:gridSpan w:val="2"/>
          </w:tcPr>
          <w:p w14:paraId="31A32FB9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C6A93E9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3CBBFA7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028BAEC2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3BC08D7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FABFB13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A468F79" w14:textId="77777777" w:rsidTr="000473AD">
        <w:trPr>
          <w:cantSplit/>
        </w:trPr>
        <w:tc>
          <w:tcPr>
            <w:tcW w:w="3539" w:type="dxa"/>
            <w:gridSpan w:val="2"/>
          </w:tcPr>
          <w:p w14:paraId="5A84228A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A2DDCCE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C7C880D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007C43E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18770772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3FFAED86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2CB3B6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656B1F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0613543B" w14:textId="77777777" w:rsidTr="000473AD">
        <w:trPr>
          <w:cantSplit/>
        </w:trPr>
        <w:tc>
          <w:tcPr>
            <w:tcW w:w="2189" w:type="dxa"/>
          </w:tcPr>
          <w:p w14:paraId="39B2F8F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2071DEA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F1ED145" w14:textId="77777777" w:rsidTr="000473AD">
        <w:trPr>
          <w:cantSplit/>
        </w:trPr>
        <w:tc>
          <w:tcPr>
            <w:tcW w:w="2189" w:type="dxa"/>
          </w:tcPr>
          <w:p w14:paraId="2E931415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2964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961E741" w14:textId="77777777" w:rsidTr="000473AD">
        <w:trPr>
          <w:cantSplit/>
        </w:trPr>
        <w:tc>
          <w:tcPr>
            <w:tcW w:w="2189" w:type="dxa"/>
          </w:tcPr>
          <w:p w14:paraId="3C4F2C2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D4662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426AD02" w14:textId="77777777" w:rsidTr="000473AD">
        <w:trPr>
          <w:cantSplit/>
        </w:trPr>
        <w:tc>
          <w:tcPr>
            <w:tcW w:w="2189" w:type="dxa"/>
          </w:tcPr>
          <w:p w14:paraId="4BF197A8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0E53E937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C81140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4A90D5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FA2E0EB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169B714A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455D628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78294D2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C05B82A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276F1DC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38B2ADA1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381AEE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011FB6C1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3076F893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9BBD713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36D42F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0A2128C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F2AEFA6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D38A1C1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4AE6FDB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3060D15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30C773" w14:textId="77777777" w:rsidR="00105D09" w:rsidRDefault="00105D09"/>
    <w:sectPr w:rsidR="00105D09" w:rsidSect="008C73F2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9134" w14:textId="77777777" w:rsidR="004136D9" w:rsidRDefault="004136D9">
      <w:pPr>
        <w:spacing w:after="0" w:line="240" w:lineRule="auto"/>
      </w:pPr>
      <w:r>
        <w:separator/>
      </w:r>
    </w:p>
  </w:endnote>
  <w:endnote w:type="continuationSeparator" w:id="0">
    <w:p w14:paraId="1012CB64" w14:textId="77777777" w:rsidR="004136D9" w:rsidRDefault="0041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C032" w14:textId="77777777" w:rsidR="00655FC5" w:rsidRDefault="00655FC5" w:rsidP="00814722">
    <w:pPr>
      <w:pStyle w:val="Footer"/>
      <w:jc w:val="center"/>
    </w:pPr>
  </w:p>
  <w:p w14:paraId="59D030E1" w14:textId="77777777" w:rsidR="00655FC5" w:rsidRDefault="0066226B" w:rsidP="00814722">
    <w:pPr>
      <w:pStyle w:val="Footer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5D31A7">
      <w:rPr>
        <w:noProof/>
      </w:rPr>
      <w:t>2</w:t>
    </w:r>
    <w:r w:rsidRPr="009759F0">
      <w:fldChar w:fldCharType="end"/>
    </w:r>
  </w:p>
  <w:p w14:paraId="22F0051A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6D00765B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639F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713EB6F5" w14:textId="77777777" w:rsidR="00655FC5" w:rsidRPr="00374220" w:rsidRDefault="0065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539A" w14:textId="77777777" w:rsidR="004136D9" w:rsidRDefault="004136D9">
      <w:pPr>
        <w:spacing w:after="0" w:line="240" w:lineRule="auto"/>
      </w:pPr>
      <w:r>
        <w:separator/>
      </w:r>
    </w:p>
  </w:footnote>
  <w:footnote w:type="continuationSeparator" w:id="0">
    <w:p w14:paraId="7B37F26B" w14:textId="77777777" w:rsidR="004136D9" w:rsidRDefault="0041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9D05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9D4"/>
    <w:multiLevelType w:val="multilevel"/>
    <w:tmpl w:val="990493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1" w15:restartNumberingAfterBreak="0">
    <w:nsid w:val="1D1E2EE5"/>
    <w:multiLevelType w:val="multilevel"/>
    <w:tmpl w:val="8AB0E3F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BD1C6B"/>
    <w:multiLevelType w:val="multilevel"/>
    <w:tmpl w:val="18B05D4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7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3" w15:restartNumberingAfterBreak="0">
    <w:nsid w:val="47B07119"/>
    <w:multiLevelType w:val="multilevel"/>
    <w:tmpl w:val="64D6EED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E8231C9"/>
    <w:multiLevelType w:val="multilevel"/>
    <w:tmpl w:val="0ECC0A3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EA2815"/>
    <w:multiLevelType w:val="multilevel"/>
    <w:tmpl w:val="D1347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num w:numId="1" w16cid:durableId="458955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150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926627">
    <w:abstractNumId w:val="3"/>
  </w:num>
  <w:num w:numId="4" w16cid:durableId="187840565">
    <w:abstractNumId w:val="6"/>
  </w:num>
  <w:num w:numId="5" w16cid:durableId="1523283317">
    <w:abstractNumId w:val="0"/>
  </w:num>
  <w:num w:numId="6" w16cid:durableId="1706326954">
    <w:abstractNumId w:val="2"/>
  </w:num>
  <w:num w:numId="7" w16cid:durableId="844906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E3118"/>
    <w:rsid w:val="001047A5"/>
    <w:rsid w:val="00105D09"/>
    <w:rsid w:val="001D569B"/>
    <w:rsid w:val="002B45B0"/>
    <w:rsid w:val="00346BD5"/>
    <w:rsid w:val="003C77D0"/>
    <w:rsid w:val="004136D9"/>
    <w:rsid w:val="0044782A"/>
    <w:rsid w:val="005D31A7"/>
    <w:rsid w:val="006234EC"/>
    <w:rsid w:val="00655FC5"/>
    <w:rsid w:val="0066226B"/>
    <w:rsid w:val="00774C64"/>
    <w:rsid w:val="007832B9"/>
    <w:rsid w:val="00794C97"/>
    <w:rsid w:val="00876E2F"/>
    <w:rsid w:val="00955CB9"/>
    <w:rsid w:val="009A4256"/>
    <w:rsid w:val="009C0893"/>
    <w:rsid w:val="00B31B7E"/>
    <w:rsid w:val="00B61359"/>
    <w:rsid w:val="00BB539B"/>
    <w:rsid w:val="00CC6343"/>
    <w:rsid w:val="00DD6F31"/>
    <w:rsid w:val="00DF2713"/>
    <w:rsid w:val="00ED3857"/>
    <w:rsid w:val="00F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72DB8"/>
  <w15:docId w15:val="{0ECDE271-7228-4485-BC57-B0AD9387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CC6343"/>
    <w:rPr>
      <w:kern w:val="0"/>
      <w:lang w:eastAsia="lv-LV"/>
    </w:rPr>
  </w:style>
  <w:style w:type="paragraph" w:styleId="Footer">
    <w:name w:val="footer"/>
    <w:aliases w:val="Char5 Char"/>
    <w:basedOn w:val="Normal"/>
    <w:link w:val="FooterChar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erChar">
    <w:name w:val="Footer Char"/>
    <w:aliases w:val="Char5 Char Char"/>
    <w:basedOn w:val="DefaultParagraphFont"/>
    <w:link w:val="Footer"/>
    <w:rsid w:val="00CC6343"/>
    <w:rPr>
      <w:kern w:val="0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locked/>
    <w:rsid w:val="00774C64"/>
    <w:rPr>
      <w:sz w:val="24"/>
      <w:szCs w:val="24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3914</Words>
  <Characters>2232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Jekaterina Tihomirova</cp:lastModifiedBy>
  <cp:revision>5</cp:revision>
  <dcterms:created xsi:type="dcterms:W3CDTF">2023-11-16T08:08:00Z</dcterms:created>
  <dcterms:modified xsi:type="dcterms:W3CDTF">2023-11-17T06:16:00Z</dcterms:modified>
</cp:coreProperties>
</file>